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5386"/>
      </w:tblGrid>
      <w:tr>
        <w:tblPrEx>
          <w:tblCellMar>
            <w:top w:w="0" w:type="dxa"/>
            <w:bottom w:w="0" w:type="dxa"/>
          </w:tblCellMar>
        </w:tblPrEx>
        <w:trPr>
          <w:trHeight w:val="657"/>
        </w:trPr>
        <w:tc>
          <w:tcPr>
            <w:tcW w:w="5386" w:type="dxa"/>
          </w:tcPr>
          <w:p>
            <w:pPr>
              <w:spacing w:line="334" w:lineRule="atLeast"/>
              <w:ind w:leftChars="-23" w:left="-50" w:hangingChars="2" w:hanging="5"/>
              <w:jc w:val="center"/>
              <w:rPr>
                <w:rFonts w:hAnsi="Times New Roman" w:cs="Times New Roman"/>
                <w:color w:val="000000" w:themeColor="text1"/>
                <w:sz w:val="20"/>
                <w:szCs w:val="20"/>
              </w:rPr>
            </w:pPr>
            <w:bookmarkStart w:id="0" w:name="_GoBack"/>
            <w:bookmarkEnd w:id="0"/>
            <w:r>
              <w:rPr>
                <w:rFonts w:hint="eastAsia"/>
                <w:color w:val="000000" w:themeColor="text1"/>
                <w:w w:val="50"/>
                <w:sz w:val="44"/>
                <w:szCs w:val="44"/>
              </w:rPr>
              <w:t>脱　退　者　持　分　払　戻　計　算　書</w:t>
            </w:r>
          </w:p>
        </w:tc>
      </w:tr>
    </w:tbl>
    <w:p>
      <w:pPr>
        <w:rPr>
          <w:rFonts w:cs="Times New Roman"/>
          <w:color w:val="000000" w:themeColor="text1"/>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9016"/>
        <w:gridCol w:w="283"/>
      </w:tblGrid>
      <w:tr>
        <w:tblPrEx>
          <w:tblCellMar>
            <w:top w:w="0" w:type="dxa"/>
            <w:bottom w:w="0" w:type="dxa"/>
          </w:tblCellMar>
        </w:tblPrEx>
        <w:trPr>
          <w:trHeight w:val="2560"/>
        </w:trPr>
        <w:tc>
          <w:tcPr>
            <w:tcW w:w="9639" w:type="dxa"/>
            <w:gridSpan w:val="3"/>
            <w:tcBorders>
              <w:top w:val="single" w:sz="12" w:space="0" w:color="000000"/>
              <w:left w:val="single" w:sz="12" w:space="0" w:color="auto"/>
              <w:bottom w:val="nil"/>
              <w:right w:val="single" w:sz="12" w:space="0" w:color="auto"/>
            </w:tcBorders>
          </w:tcPr>
          <w:p>
            <w:pPr>
              <w:ind w:leftChars="37" w:left="89" w:rightChars="37" w:right="89"/>
              <w:rPr>
                <w:color w:val="000000" w:themeColor="text1"/>
                <w:spacing w:val="4"/>
              </w:rPr>
            </w:pPr>
            <w:r>
              <w:rPr>
                <w:rFonts w:hint="eastAsia"/>
                <w:color w:val="000000" w:themeColor="text1"/>
                <w:spacing w:val="4"/>
              </w:rPr>
              <w:t xml:space="preserve">　組合員が脱退する場合には、定款の規定に基づき組合に対する持分の全部又は一部の払戻しを請求することができる</w:t>
            </w:r>
            <w:r>
              <w:rPr>
                <w:color w:val="000000" w:themeColor="text1"/>
                <w:spacing w:val="4"/>
              </w:rPr>
              <w:t>(</w:t>
            </w:r>
            <w:r>
              <w:rPr>
                <w:rFonts w:hint="eastAsia"/>
                <w:color w:val="000000" w:themeColor="text1"/>
                <w:spacing w:val="4"/>
              </w:rPr>
              <w:t>中協法第２０条第１項</w:t>
            </w:r>
            <w:r>
              <w:rPr>
                <w:color w:val="000000" w:themeColor="text1"/>
                <w:spacing w:val="4"/>
              </w:rPr>
              <w:t>)</w:t>
            </w:r>
            <w:r>
              <w:rPr>
                <w:rFonts w:hint="eastAsia"/>
                <w:color w:val="000000" w:themeColor="text1"/>
                <w:spacing w:val="4"/>
              </w:rPr>
              <w:t>とされ、その払戻しの対象となる持分は事業年度末の組合財産によって決定する</w:t>
            </w:r>
            <w:r>
              <w:rPr>
                <w:color w:val="000000" w:themeColor="text1"/>
                <w:spacing w:val="4"/>
              </w:rPr>
              <w:t>(</w:t>
            </w:r>
            <w:r>
              <w:rPr>
                <w:rFonts w:hint="eastAsia"/>
                <w:color w:val="000000" w:themeColor="text1"/>
                <w:spacing w:val="4"/>
              </w:rPr>
              <w:t>中協法第２０条第２項</w:t>
            </w:r>
            <w:r>
              <w:rPr>
                <w:color w:val="000000" w:themeColor="text1"/>
                <w:spacing w:val="4"/>
              </w:rPr>
              <w:t>)</w:t>
            </w:r>
            <w:r>
              <w:rPr>
                <w:rFonts w:hint="eastAsia"/>
                <w:color w:val="000000" w:themeColor="text1"/>
                <w:spacing w:val="4"/>
              </w:rPr>
              <w:t>こととされている。この組合財産は判例により時価評価すべきとされていることから、組合は年度末時点での脱退者の持分を算定し具体的な持分額を決定する必要がある。</w:t>
            </w:r>
          </w:p>
          <w:p>
            <w:pPr>
              <w:ind w:leftChars="37" w:left="89" w:rightChars="37" w:right="89" w:firstLineChars="100" w:firstLine="248"/>
              <w:rPr>
                <w:color w:val="000000" w:themeColor="text1"/>
                <w:spacing w:val="4"/>
              </w:rPr>
            </w:pPr>
            <w:r>
              <w:rPr>
                <w:rFonts w:hint="eastAsia"/>
                <w:color w:val="000000" w:themeColor="text1"/>
                <w:spacing w:val="4"/>
              </w:rPr>
              <w:t>脱退者の持分計算について中協法規則には特段の規定はないが、この計算様式例としては次の様式が妥当である。</w:t>
            </w:r>
          </w:p>
        </w:tc>
      </w:tr>
      <w:tr>
        <w:tblPrEx>
          <w:tblCellMar>
            <w:top w:w="0" w:type="dxa"/>
            <w:bottom w:w="0" w:type="dxa"/>
          </w:tblCellMar>
        </w:tblPrEx>
        <w:trPr>
          <w:cantSplit/>
          <w:trHeight w:val="336"/>
        </w:trPr>
        <w:tc>
          <w:tcPr>
            <w:tcW w:w="340" w:type="dxa"/>
            <w:vMerge w:val="restart"/>
            <w:tcBorders>
              <w:top w:val="nil"/>
              <w:left w:val="single" w:sz="12" w:space="0" w:color="000000"/>
              <w:bottom w:val="nil"/>
            </w:tcBorders>
          </w:tcPr>
          <w:p>
            <w:pPr>
              <w:tabs>
                <w:tab w:val="left" w:pos="3544"/>
              </w:tabs>
              <w:spacing w:line="334" w:lineRule="atLeast"/>
              <w:rPr>
                <w:rFonts w:cs="Times New Roman"/>
                <w:color w:val="000000" w:themeColor="text1"/>
                <w:spacing w:val="4"/>
                <w:szCs w:val="20"/>
              </w:rPr>
            </w:pPr>
          </w:p>
        </w:tc>
        <w:tc>
          <w:tcPr>
            <w:tcW w:w="9016" w:type="dxa"/>
            <w:tcBorders>
              <w:top w:val="single" w:sz="4" w:space="0" w:color="000000"/>
              <w:bottom w:val="nil"/>
            </w:tcBorders>
          </w:tcPr>
          <w:p>
            <w:pPr>
              <w:tabs>
                <w:tab w:val="left" w:pos="3544"/>
              </w:tabs>
              <w:spacing w:line="334" w:lineRule="atLeast"/>
              <w:rPr>
                <w:rFonts w:cs="Times New Roman"/>
                <w:color w:val="000000" w:themeColor="text1"/>
                <w:spacing w:val="4"/>
                <w:szCs w:val="20"/>
              </w:rPr>
            </w:pPr>
            <w:r>
              <w:rPr>
                <w:rFonts w:hint="eastAsia"/>
                <w:color w:val="000000" w:themeColor="text1"/>
                <w:spacing w:val="4"/>
              </w:rPr>
              <w:t>【作成上の留意点】</w:t>
            </w:r>
          </w:p>
        </w:tc>
        <w:tc>
          <w:tcPr>
            <w:tcW w:w="283" w:type="dxa"/>
            <w:vMerge w:val="restart"/>
            <w:tcBorders>
              <w:top w:val="nil"/>
              <w:bottom w:val="nil"/>
              <w:right w:val="single" w:sz="12" w:space="0" w:color="auto"/>
            </w:tcBorders>
          </w:tcPr>
          <w:p>
            <w:pPr>
              <w:tabs>
                <w:tab w:val="left" w:pos="3544"/>
              </w:tabs>
              <w:spacing w:line="334" w:lineRule="atLeast"/>
              <w:rPr>
                <w:rFonts w:hAnsi="Times New Roman" w:cs="Times New Roman"/>
                <w:color w:val="000000" w:themeColor="text1"/>
                <w:sz w:val="20"/>
                <w:szCs w:val="20"/>
              </w:rPr>
            </w:pPr>
          </w:p>
        </w:tc>
      </w:tr>
      <w:tr>
        <w:tblPrEx>
          <w:tblCellMar>
            <w:top w:w="0" w:type="dxa"/>
            <w:bottom w:w="0" w:type="dxa"/>
          </w:tblCellMar>
        </w:tblPrEx>
        <w:trPr>
          <w:cantSplit/>
          <w:trHeight w:val="2065"/>
        </w:trPr>
        <w:tc>
          <w:tcPr>
            <w:tcW w:w="340" w:type="dxa"/>
            <w:vMerge/>
            <w:tcBorders>
              <w:top w:val="nil"/>
              <w:left w:val="single" w:sz="12" w:space="0" w:color="000000"/>
              <w:bottom w:val="nil"/>
            </w:tcBorders>
          </w:tcPr>
          <w:p>
            <w:pPr>
              <w:tabs>
                <w:tab w:val="left" w:pos="3544"/>
              </w:tabs>
              <w:textAlignment w:val="auto"/>
              <w:rPr>
                <w:rFonts w:cs="Times New Roman"/>
                <w:color w:val="000000" w:themeColor="text1"/>
                <w:spacing w:val="4"/>
                <w:szCs w:val="20"/>
              </w:rPr>
            </w:pPr>
          </w:p>
        </w:tc>
        <w:tc>
          <w:tcPr>
            <w:tcW w:w="9016" w:type="dxa"/>
            <w:tcBorders>
              <w:top w:val="nil"/>
              <w:bottom w:val="single" w:sz="4" w:space="0" w:color="000000"/>
            </w:tcBorders>
          </w:tcPr>
          <w:p>
            <w:pPr>
              <w:tabs>
                <w:tab w:val="left" w:pos="3544"/>
              </w:tabs>
              <w:spacing w:line="334" w:lineRule="atLeast"/>
              <w:ind w:left="248" w:rightChars="37" w:right="89" w:hangingChars="100" w:hanging="248"/>
              <w:rPr>
                <w:color w:val="000000" w:themeColor="text1"/>
                <w:spacing w:val="4"/>
              </w:rPr>
            </w:pPr>
            <w:r>
              <w:rPr>
                <w:color w:val="000000" w:themeColor="text1"/>
                <w:spacing w:val="4"/>
              </w:rPr>
              <w:t xml:space="preserve">(1) </w:t>
            </w:r>
            <w:r>
              <w:rPr>
                <w:rFonts w:hint="eastAsia"/>
                <w:color w:val="000000" w:themeColor="text1"/>
                <w:spacing w:val="4"/>
              </w:rPr>
              <w:t>この様式は改算式持分計算法による持分全部を払い戻す定款規定の場合であるから、簿価財産限度の払戻しの定款規定の場合は、土地評価益の額及び土地評価益に対する繰延税金負債の額を除いて算出します。</w:t>
            </w:r>
          </w:p>
          <w:p>
            <w:pPr>
              <w:tabs>
                <w:tab w:val="left" w:pos="3544"/>
              </w:tabs>
              <w:spacing w:line="334" w:lineRule="atLeast"/>
              <w:ind w:left="174" w:rightChars="37" w:right="89" w:hangingChars="70" w:hanging="174"/>
              <w:rPr>
                <w:color w:val="000000" w:themeColor="text1"/>
                <w:spacing w:val="4"/>
              </w:rPr>
            </w:pPr>
            <w:r>
              <w:rPr>
                <w:color w:val="000000" w:themeColor="text1"/>
                <w:spacing w:val="4"/>
              </w:rPr>
              <w:t xml:space="preserve">(2) </w:t>
            </w:r>
            <w:r>
              <w:rPr>
                <w:rFonts w:hint="eastAsia"/>
                <w:color w:val="000000" w:themeColor="text1"/>
                <w:spacing w:val="4"/>
              </w:rPr>
              <w:t>土地評価減の場合は、評価減の額を控除して算出します。</w:t>
            </w:r>
          </w:p>
          <w:p>
            <w:pPr>
              <w:tabs>
                <w:tab w:val="left" w:pos="3544"/>
              </w:tabs>
              <w:spacing w:line="334" w:lineRule="atLeast"/>
              <w:ind w:left="248" w:rightChars="37" w:right="89" w:hangingChars="100" w:hanging="248"/>
              <w:rPr>
                <w:rFonts w:cs="Times New Roman"/>
                <w:color w:val="000000" w:themeColor="text1"/>
                <w:spacing w:val="4"/>
                <w:szCs w:val="20"/>
              </w:rPr>
            </w:pPr>
            <w:r>
              <w:rPr>
                <w:color w:val="000000" w:themeColor="text1"/>
                <w:spacing w:val="4"/>
              </w:rPr>
              <w:t xml:space="preserve">(3) </w:t>
            </w:r>
            <w:r>
              <w:rPr>
                <w:rFonts w:hint="eastAsia"/>
                <w:color w:val="000000" w:themeColor="text1"/>
                <w:spacing w:val="4"/>
              </w:rPr>
              <w:t>出資額限度持分払戻しの定款規定の場合は、この計算書で算出した持分額が、出資金額より多いときは出資金額の払戻しを行い、出資金額より少ないときは、その出資金額より少ない持分額を払戻します。</w:t>
            </w:r>
          </w:p>
        </w:tc>
        <w:tc>
          <w:tcPr>
            <w:tcW w:w="283" w:type="dxa"/>
            <w:vMerge/>
            <w:tcBorders>
              <w:top w:val="nil"/>
              <w:bottom w:val="nil"/>
              <w:right w:val="single" w:sz="12" w:space="0" w:color="auto"/>
            </w:tcBorders>
          </w:tcPr>
          <w:p>
            <w:pPr>
              <w:tabs>
                <w:tab w:val="left" w:pos="3544"/>
              </w:tabs>
              <w:textAlignment w:val="auto"/>
              <w:rPr>
                <w:rFonts w:hAnsi="Times New Roman" w:cs="Times New Roman"/>
                <w:color w:val="000000" w:themeColor="text1"/>
                <w:sz w:val="20"/>
                <w:szCs w:val="20"/>
              </w:rPr>
            </w:pPr>
          </w:p>
        </w:tc>
      </w:tr>
      <w:tr>
        <w:tblPrEx>
          <w:tblCellMar>
            <w:top w:w="0" w:type="dxa"/>
            <w:bottom w:w="0" w:type="dxa"/>
          </w:tblCellMar>
        </w:tblPrEx>
        <w:trPr>
          <w:trHeight w:val="80"/>
        </w:trPr>
        <w:tc>
          <w:tcPr>
            <w:tcW w:w="9639" w:type="dxa"/>
            <w:gridSpan w:val="3"/>
            <w:tcBorders>
              <w:top w:val="nil"/>
              <w:left w:val="single" w:sz="12" w:space="0" w:color="auto"/>
              <w:bottom w:val="single" w:sz="12" w:space="0" w:color="000000"/>
              <w:right w:val="single" w:sz="12" w:space="0" w:color="auto"/>
            </w:tcBorders>
          </w:tcPr>
          <w:p>
            <w:pPr>
              <w:tabs>
                <w:tab w:val="left" w:pos="3544"/>
              </w:tabs>
              <w:spacing w:line="334" w:lineRule="atLeast"/>
              <w:rPr>
                <w:rFonts w:hAnsi="Times New Roman" w:cs="Times New Roman"/>
                <w:color w:val="000000" w:themeColor="text1"/>
                <w:sz w:val="20"/>
                <w:szCs w:val="20"/>
              </w:rPr>
            </w:pPr>
          </w:p>
        </w:tc>
      </w:tr>
    </w:tbl>
    <w:p>
      <w:pPr>
        <w:rPr>
          <w:color w:val="000000" w:themeColor="text1"/>
        </w:rPr>
      </w:pPr>
      <w:r>
        <w:rPr>
          <w:color w:val="000000" w:themeColor="text1"/>
        </w:rPr>
        <w:t xml:space="preserve"> </w:t>
      </w:r>
    </w:p>
    <w:p>
      <w:pPr>
        <w:rPr>
          <w:color w:val="000000" w:themeColor="text1"/>
        </w:rPr>
      </w:pPr>
    </w:p>
    <w:p>
      <w:pPr>
        <w:rPr>
          <w:rFonts w:hAnsi="Times New Roman" w:cs="Times New Roman"/>
          <w:color w:val="000000" w:themeColor="text1"/>
          <w:sz w:val="20"/>
          <w:szCs w:val="20"/>
        </w:rPr>
      </w:pPr>
    </w:p>
    <w:p>
      <w:pPr>
        <w:rPr>
          <w:rStyle w:val="02pt"/>
          <w:rFonts w:cs="MS Gothic"/>
          <w:color w:val="000000" w:themeColor="text1"/>
        </w:rPr>
      </w:pPr>
      <w:r>
        <w:rPr>
          <w:rFonts w:hAnsi="Times New Roman" w:cs="Times New Roman"/>
          <w:color w:val="000000" w:themeColor="text1"/>
          <w:sz w:val="20"/>
          <w:szCs w:val="20"/>
        </w:rPr>
        <w:br w:type="page"/>
      </w:r>
      <w:r>
        <w:rPr>
          <w:rStyle w:val="02pt"/>
          <w:rFonts w:cs="MS Gothic"/>
          <w:color w:val="000000" w:themeColor="text1"/>
        </w:rPr>
        <w:t xml:space="preserve"> </w:t>
      </w:r>
    </w:p>
    <w:p>
      <w:pPr>
        <w:jc w:val="center"/>
        <w:rPr>
          <w:rFonts w:cs="Times New Roman"/>
          <w:b/>
          <w:color w:val="000000" w:themeColor="text1"/>
          <w:sz w:val="24"/>
          <w:szCs w:val="24"/>
        </w:rPr>
      </w:pPr>
      <w:r>
        <w:rPr>
          <w:rFonts w:cs="Times New Roman" w:hint="eastAsia"/>
          <w:b/>
          <w:color w:val="000000" w:themeColor="text1"/>
          <w:sz w:val="24"/>
          <w:szCs w:val="24"/>
        </w:rPr>
        <w:t>脱退者持分払戻計算書</w:t>
      </w:r>
    </w:p>
    <w:p>
      <w:pPr>
        <w:jc w:val="center"/>
        <w:rPr>
          <w:rFonts w:cs="Times New Roman"/>
          <w:color w:val="000000" w:themeColor="text1"/>
        </w:rPr>
      </w:pPr>
      <w:r>
        <w:rPr>
          <w:rFonts w:cs="Times New Roman" w:hint="eastAsia"/>
          <w:color w:val="000000" w:themeColor="text1"/>
        </w:rPr>
        <w:t>令和</w:t>
      </w:r>
      <w:r>
        <w:rPr>
          <w:rFonts w:cs="Times New Roman"/>
          <w:color w:val="000000" w:themeColor="text1"/>
        </w:rPr>
        <w:t xml:space="preserve">   </w:t>
      </w:r>
      <w:r>
        <w:rPr>
          <w:rFonts w:cs="Times New Roman" w:hint="eastAsia"/>
          <w:color w:val="000000" w:themeColor="text1"/>
        </w:rPr>
        <w:t>年</w:t>
      </w:r>
      <w:r>
        <w:rPr>
          <w:rFonts w:cs="Times New Roman"/>
          <w:color w:val="000000" w:themeColor="text1"/>
        </w:rPr>
        <w:t xml:space="preserve">   </w:t>
      </w:r>
      <w:r>
        <w:rPr>
          <w:rFonts w:cs="Times New Roman" w:hint="eastAsia"/>
          <w:color w:val="000000" w:themeColor="text1"/>
        </w:rPr>
        <w:t>月</w:t>
      </w:r>
      <w:r>
        <w:rPr>
          <w:rFonts w:cs="Times New Roman"/>
          <w:color w:val="000000" w:themeColor="text1"/>
        </w:rPr>
        <w:t xml:space="preserve">   </w:t>
      </w:r>
      <w:r>
        <w:rPr>
          <w:rFonts w:cs="Times New Roman" w:hint="eastAsia"/>
          <w:color w:val="000000" w:themeColor="text1"/>
        </w:rPr>
        <w:t>日</w:t>
      </w:r>
    </w:p>
    <w:p>
      <w:pPr>
        <w:jc w:val="center"/>
        <w:rPr>
          <w:rFonts w:cs="Times New Roman"/>
          <w:color w:val="000000" w:themeColor="text1"/>
        </w:rPr>
      </w:pPr>
    </w:p>
    <w:p>
      <w:pPr>
        <w:ind w:leftChars="100" w:left="240"/>
        <w:rPr>
          <w:rFonts w:cs="Times New Roman"/>
          <w:color w:val="000000" w:themeColor="text1"/>
        </w:rPr>
      </w:pPr>
      <w:r>
        <w:rPr>
          <w:rFonts w:cs="Times New Roman" w:hint="eastAsia"/>
          <w:color w:val="000000" w:themeColor="text1"/>
        </w:rPr>
        <w:t>Ⅰ　払戻持分の対象になる金額</w:t>
      </w:r>
    </w:p>
    <w:p>
      <w:pPr>
        <w:ind w:leftChars="100" w:left="240" w:firstLineChars="150" w:firstLine="360"/>
        <w:rPr>
          <w:rFonts w:cs="Times New Roman"/>
          <w:color w:val="000000" w:themeColor="text1"/>
        </w:rPr>
      </w:pPr>
      <w:r>
        <w:rPr>
          <w:rFonts w:cs="Times New Roman" w:hint="eastAsia"/>
          <w:color w:val="000000" w:themeColor="text1"/>
        </w:rPr>
        <w:t>１　貸借対照表の出資金の部分　　　　　　　　Ａ</w:t>
      </w:r>
    </w:p>
    <w:p>
      <w:pPr>
        <w:ind w:firstLineChars="450" w:firstLine="1080"/>
        <w:rPr>
          <w:rFonts w:cs="Times New Roman"/>
          <w:color w:val="000000" w:themeColor="text1"/>
        </w:rPr>
      </w:pP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の資本剰余金の部分　　　　　　　　Ｂ</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の利益準備金の部分　　　　　　　　Ｃ</w:t>
      </w:r>
    </w:p>
    <w:p>
      <w:pPr>
        <w:ind w:leftChars="100" w:left="240" w:firstLineChars="350" w:firstLine="840"/>
        <w:rPr>
          <w:rFonts w:cs="Times New Roman"/>
          <w:color w:val="000000" w:themeColor="text1"/>
        </w:rPr>
      </w:pP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の組合積立金の部分　　　　　　　　Ｄ</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教育情報費用繰越金を含む</w:t>
      </w:r>
      <w:r>
        <w:rPr>
          <w:rFonts w:cs="Times New Roman"/>
          <w:color w:val="000000" w:themeColor="text1"/>
        </w:rPr>
        <w:t>)</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w:t>
      </w:r>
      <w:r>
        <w:rPr>
          <w:rFonts w:cs="Times New Roman"/>
          <w:color w:val="000000" w:themeColor="text1"/>
        </w:rPr>
        <w:t xml:space="preserve"> </w:t>
      </w: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の当期未処分剰余金　　　　　　　　Ｅ</w:t>
      </w:r>
    </w:p>
    <w:p>
      <w:pPr>
        <w:ind w:leftChars="100" w:left="240" w:firstLineChars="150" w:firstLine="360"/>
        <w:rPr>
          <w:rFonts w:cs="Times New Roman"/>
          <w:color w:val="000000" w:themeColor="text1"/>
        </w:rPr>
      </w:pPr>
      <w:r>
        <w:rPr>
          <w:rFonts w:cs="Times New Roman" w:hint="eastAsia"/>
          <w:color w:val="000000" w:themeColor="text1"/>
        </w:rPr>
        <w:t>２　剰余金処分による流出　　　　　　　　　　Ｆ</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w:t>
      </w:r>
      <w:r>
        <w:rPr>
          <w:rFonts w:cs="Times New Roman"/>
          <w:color w:val="000000" w:themeColor="text1"/>
        </w:rPr>
        <w:t xml:space="preserve">    (</w:t>
      </w:r>
      <w:r>
        <w:rPr>
          <w:rFonts w:cs="Times New Roman" w:hint="eastAsia"/>
          <w:color w:val="000000" w:themeColor="text1"/>
        </w:rPr>
        <w:t>出資・利用分量配当等</w:t>
      </w:r>
      <w:r>
        <w:rPr>
          <w:rFonts w:cs="Times New Roman"/>
          <w:color w:val="000000" w:themeColor="text1"/>
        </w:rPr>
        <w:t>)</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３　未払持分に振り替えた脱退者の出資金　　　Ａ</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４　土地評価益　　　　　　　　　　　　　　　Ｇ</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５　土地評価益に対する繰延税金負債　　　　　Ｈ</w:t>
      </w:r>
    </w:p>
    <w:p>
      <w:pPr>
        <w:ind w:leftChars="100" w:left="5952" w:hangingChars="2380" w:hanging="5712"/>
        <w:rPr>
          <w:rFonts w:cs="Times New Roman"/>
          <w:color w:val="000000" w:themeColor="text1"/>
        </w:rPr>
      </w:pPr>
      <w:r>
        <w:rPr>
          <w:rFonts w:cs="Times New Roman" w:hint="eastAsia"/>
          <w:color w:val="000000" w:themeColor="text1"/>
        </w:rPr>
        <w:t xml:space="preserve">　</w:t>
      </w:r>
      <w:r>
        <w:rPr>
          <w:rFonts w:cs="Times New Roman"/>
          <w:color w:val="000000" w:themeColor="text1"/>
        </w:rPr>
        <w:t xml:space="preserve"> </w:t>
      </w:r>
      <w:r>
        <w:rPr>
          <w:rFonts w:cs="Times New Roman" w:hint="eastAsia"/>
          <w:color w:val="000000" w:themeColor="text1"/>
        </w:rPr>
        <w:t>６</w:t>
      </w:r>
      <w:r>
        <w:rPr>
          <w:rFonts w:cs="Times New Roman"/>
          <w:color w:val="000000" w:themeColor="text1"/>
        </w:rPr>
        <w:t xml:space="preserve">  </w:t>
      </w:r>
      <w:r>
        <w:rPr>
          <w:rFonts w:cs="Times New Roman" w:hint="eastAsia"/>
          <w:color w:val="000000" w:themeColor="text1"/>
        </w:rPr>
        <w:t>繰延資産</w:t>
      </w:r>
      <w:r>
        <w:rPr>
          <w:rFonts w:cs="Times New Roman"/>
          <w:color w:val="000000" w:themeColor="text1"/>
        </w:rPr>
        <w:tab/>
        <w:t>I</w:t>
      </w:r>
    </w:p>
    <w:p>
      <w:pPr>
        <w:ind w:leftChars="-59" w:left="-142"/>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払戻持分対象金額合計</w:t>
      </w:r>
      <w:r>
        <w:rPr>
          <w:rFonts w:cs="Times New Roman"/>
          <w:color w:val="000000" w:themeColor="text1"/>
        </w:rPr>
        <w:t xml:space="preserve">     </w:t>
      </w:r>
      <w:r>
        <w:rPr>
          <w:rFonts w:cs="Times New Roman" w:hint="eastAsia"/>
          <w:color w:val="000000" w:themeColor="text1"/>
        </w:rPr>
        <w:t xml:space="preserve">　　　　</w:t>
      </w:r>
      <w:r>
        <w:rPr>
          <w:rFonts w:cs="Times New Roman"/>
          <w:color w:val="000000" w:themeColor="text1"/>
        </w:rPr>
        <w:t xml:space="preserve">       </w:t>
      </w:r>
      <w:r>
        <w:rPr>
          <w:rFonts w:cs="Times New Roman" w:hint="eastAsia"/>
          <w:color w:val="000000" w:themeColor="text1"/>
        </w:rPr>
        <w:t>Ａ＋Ｂ＋Ｃ＋Ｄ＋Ｅ－Ｆ＋Ｇ－Ｈ－</w:t>
      </w:r>
      <w:r>
        <w:rPr>
          <w:rFonts w:cs="Times New Roman"/>
          <w:color w:val="000000" w:themeColor="text1"/>
        </w:rPr>
        <w:t>I</w:t>
      </w:r>
    </w:p>
    <w:p>
      <w:pPr>
        <w:ind w:leftChars="100" w:left="240"/>
        <w:rPr>
          <w:rFonts w:cs="Times New Roman"/>
          <w:color w:val="000000" w:themeColor="text1"/>
        </w:rPr>
      </w:pPr>
      <w:r>
        <w:rPr>
          <w:rFonts w:cs="Times New Roman" w:hint="eastAsia"/>
          <w:color w:val="000000" w:themeColor="text1"/>
        </w:rPr>
        <w:t>Ⅱ　払戻持分１口の金額</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１　対象出資口数</w:t>
      </w:r>
      <w:r>
        <w:rPr>
          <w:rFonts w:cs="Times New Roman"/>
          <w:color w:val="000000" w:themeColor="text1"/>
        </w:rPr>
        <w:t>(</w:t>
      </w:r>
      <w:r>
        <w:rPr>
          <w:rFonts w:cs="Times New Roman" w:hint="eastAsia"/>
          <w:color w:val="000000" w:themeColor="text1"/>
        </w:rPr>
        <w:t>期末出資口数＋脱退者出資口数</w:t>
      </w:r>
      <w:r>
        <w:rPr>
          <w:rFonts w:cs="Times New Roman"/>
          <w:color w:val="000000" w:themeColor="text1"/>
        </w:rPr>
        <w:t>)</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２　１口の金額</w:t>
      </w:r>
      <w:r>
        <w:rPr>
          <w:rFonts w:cs="Times New Roman"/>
          <w:color w:val="000000" w:themeColor="text1"/>
        </w:rPr>
        <w:t>(</w:t>
      </w:r>
      <w:r>
        <w:rPr>
          <w:rFonts w:cs="Times New Roman" w:hint="eastAsia"/>
          <w:color w:val="000000" w:themeColor="text1"/>
        </w:rPr>
        <w:t>払戻持分対象金額合計÷対象出資口数</w:t>
      </w:r>
      <w:r>
        <w:rPr>
          <w:rFonts w:cs="Times New Roman"/>
          <w:color w:val="000000" w:themeColor="text1"/>
        </w:rPr>
        <w:t>)</w:t>
      </w:r>
    </w:p>
    <w:p>
      <w:pPr>
        <w:ind w:leftChars="100" w:left="240"/>
        <w:rPr>
          <w:rFonts w:cs="Times New Roman"/>
          <w:color w:val="000000" w:themeColor="text1"/>
        </w:rPr>
      </w:pPr>
      <w:r>
        <w:rPr>
          <w:rFonts w:cs="Times New Roman" w:hint="eastAsia"/>
          <w:color w:val="000000" w:themeColor="text1"/>
        </w:rPr>
        <w:t>Ⅲ　払戻持分１口の金額の内訳</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１　出資金の部分　　　　Ａ</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２　資本剰余金の部分　　Ｂ</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３　利益剰余金の部分　　Ｃ＋Ｄ＋Ｅ－Ｆ＋Ｇ－Ｈ－</w:t>
      </w:r>
      <w:r>
        <w:rPr>
          <w:rFonts w:cs="Times New Roman"/>
          <w:color w:val="000000" w:themeColor="text1"/>
        </w:rPr>
        <w:t>I</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４　みなし配当源泉税</w:t>
      </w:r>
      <w:r>
        <w:rPr>
          <w:rFonts w:cs="Times New Roman"/>
          <w:color w:val="000000" w:themeColor="text1"/>
        </w:rPr>
        <w:t>(</w:t>
      </w:r>
      <w:r>
        <w:rPr>
          <w:rFonts w:cs="Times New Roman" w:hint="eastAsia"/>
          <w:color w:val="000000" w:themeColor="text1"/>
        </w:rPr>
        <w:t>利益剰余金の部分×</w:t>
      </w:r>
      <w:r>
        <w:rPr>
          <w:rFonts w:cs="Times New Roman"/>
          <w:color w:val="000000" w:themeColor="text1"/>
        </w:rPr>
        <w:t>20.42</w:t>
      </w:r>
      <w:r>
        <w:rPr>
          <w:rFonts w:cs="Times New Roman" w:hint="eastAsia"/>
          <w:color w:val="000000" w:themeColor="text1"/>
        </w:rPr>
        <w:t>％</w:t>
      </w:r>
      <w:r>
        <w:rPr>
          <w:rFonts w:cs="Times New Roman"/>
          <w:color w:val="000000" w:themeColor="text1"/>
        </w:rPr>
        <w:t>)</w:t>
      </w:r>
    </w:p>
    <w:p>
      <w:pPr>
        <w:ind w:leftChars="100" w:left="240" w:firstLineChars="150" w:firstLine="360"/>
        <w:rPr>
          <w:rFonts w:cs="Times New Roman"/>
          <w:color w:val="000000" w:themeColor="text1"/>
        </w:rPr>
      </w:pPr>
      <w:r>
        <w:rPr>
          <w:rFonts w:cs="Times New Roman" w:hint="eastAsia"/>
          <w:color w:val="000000" w:themeColor="text1"/>
        </w:rPr>
        <w:t>１口当たりの払戻額計</w:t>
      </w:r>
    </w:p>
    <w:p>
      <w:pPr>
        <w:ind w:leftChars="100" w:left="240"/>
        <w:rPr>
          <w:rFonts w:cs="Times New Roman"/>
          <w:color w:val="000000" w:themeColor="text1"/>
        </w:rPr>
      </w:pPr>
      <w:r>
        <w:rPr>
          <w:rFonts w:cs="Times New Roman" w:hint="eastAsia"/>
          <w:color w:val="000000" w:themeColor="text1"/>
        </w:rPr>
        <w:t>Ⅳ　脱退者持分払戻額</w:t>
      </w:r>
    </w:p>
    <w:p>
      <w:pPr>
        <w:ind w:leftChars="100" w:left="240"/>
        <w:rPr>
          <w:rFonts w:cs="Times New Roman"/>
          <w:color w:val="000000" w:themeColor="text1"/>
        </w:rPr>
      </w:pPr>
    </w:p>
    <w:p>
      <w:pPr>
        <w:ind w:leftChars="100" w:left="240"/>
        <w:rPr>
          <w:rFonts w:cs="Times New Roman"/>
          <w:color w:val="000000" w:themeColor="text1"/>
        </w:rPr>
      </w:pPr>
      <w:r>
        <w:rPr>
          <w:rFonts w:cs="Times New Roman" w:hint="eastAsia"/>
          <w:color w:val="000000" w:themeColor="text1"/>
        </w:rPr>
        <w:t>Ⅴ　会計処理の方針</w:t>
      </w:r>
    </w:p>
    <w:p>
      <w:pPr>
        <w:ind w:leftChars="100" w:left="2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１　出資金の部分は、出資金勘定の減少で処理する。</w:t>
      </w:r>
      <w:r>
        <w:rPr>
          <w:rFonts w:cs="Times New Roman"/>
          <w:color w:val="000000" w:themeColor="text1"/>
        </w:rPr>
        <w:t>(</w:t>
      </w:r>
      <w:r>
        <w:rPr>
          <w:rFonts w:cs="Times New Roman" w:hint="eastAsia"/>
          <w:color w:val="000000" w:themeColor="text1"/>
        </w:rPr>
        <w:t>規定なし</w:t>
      </w:r>
      <w:r>
        <w:rPr>
          <w:rFonts w:cs="Times New Roman"/>
          <w:color w:val="000000" w:themeColor="text1"/>
        </w:rPr>
        <w:t>)</w:t>
      </w:r>
    </w:p>
    <w:p>
      <w:pPr>
        <w:ind w:left="840" w:hangingChars="350" w:hanging="840"/>
        <w:rPr>
          <w:rFonts w:cs="Times New Roman"/>
          <w:color w:val="000000" w:themeColor="text1"/>
        </w:rPr>
      </w:pPr>
      <w:r>
        <w:rPr>
          <w:rFonts w:cs="Times New Roman" w:hint="eastAsia"/>
          <w:color w:val="000000" w:themeColor="text1"/>
        </w:rPr>
        <w:t xml:space="preserve">　　</w:t>
      </w:r>
      <w:r>
        <w:rPr>
          <w:rFonts w:cs="Times New Roman"/>
          <w:color w:val="000000" w:themeColor="text1"/>
        </w:rPr>
        <w:t xml:space="preserve"> </w:t>
      </w:r>
      <w:r>
        <w:rPr>
          <w:rFonts w:cs="Times New Roman" w:hint="eastAsia"/>
          <w:color w:val="000000" w:themeColor="text1"/>
        </w:rPr>
        <w:t>２　資本剰余金の部分は、資本準備金又はその他資本剰余金勘定からの減少で処理する。</w:t>
      </w:r>
      <w:r>
        <w:rPr>
          <w:rFonts w:cs="Times New Roman"/>
          <w:color w:val="000000" w:themeColor="text1"/>
        </w:rPr>
        <w:t>(</w:t>
      </w:r>
      <w:r>
        <w:rPr>
          <w:rFonts w:cs="Times New Roman" w:hint="eastAsia"/>
          <w:color w:val="000000" w:themeColor="text1"/>
        </w:rPr>
        <w:t>規定なし</w:t>
      </w:r>
      <w:r>
        <w:rPr>
          <w:rFonts w:cs="Times New Roman"/>
          <w:color w:val="000000" w:themeColor="text1"/>
        </w:rPr>
        <w:t>)</w:t>
      </w:r>
    </w:p>
    <w:p>
      <w:pPr>
        <w:ind w:leftChars="100" w:left="840" w:hangingChars="250" w:hanging="60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３　利益剰余金の部分は、利益剰余金の中の勘定科目からの減少で処理する。</w:t>
      </w:r>
      <w:r>
        <w:rPr>
          <w:rFonts w:cs="Times New Roman"/>
          <w:color w:val="000000" w:themeColor="text1"/>
        </w:rPr>
        <w:t>(</w:t>
      </w:r>
      <w:r>
        <w:rPr>
          <w:rFonts w:cs="Times New Roman" w:hint="eastAsia"/>
          <w:color w:val="000000" w:themeColor="text1"/>
        </w:rPr>
        <w:t>規定なし</w:t>
      </w:r>
      <w:r>
        <w:rPr>
          <w:rFonts w:cs="Times New Roman"/>
          <w:color w:val="000000" w:themeColor="text1"/>
        </w:rPr>
        <w:t>)</w:t>
      </w:r>
    </w:p>
    <w:p>
      <w:pPr>
        <w:ind w:left="840" w:hangingChars="350" w:hanging="840"/>
        <w:rPr>
          <w:rFonts w:cs="Times New Roman"/>
          <w:color w:val="000000" w:themeColor="text1"/>
        </w:rPr>
      </w:pPr>
      <w:r>
        <w:rPr>
          <w:rFonts w:cs="Times New Roman"/>
          <w:color w:val="000000" w:themeColor="text1"/>
        </w:rPr>
        <w:t xml:space="preserve"> </w:t>
      </w:r>
      <w:r>
        <w:rPr>
          <w:rFonts w:cs="Times New Roman" w:hint="eastAsia"/>
          <w:color w:val="000000" w:themeColor="text1"/>
        </w:rPr>
        <w:t xml:space="preserve">　　４　出資金額より少ない額を払い戻したときに生じる差額は、出資金減少差益として　処理する。</w:t>
      </w:r>
      <w:r>
        <w:rPr>
          <w:rFonts w:cs="Times New Roman"/>
          <w:color w:val="000000" w:themeColor="text1"/>
        </w:rPr>
        <w:t>(</w:t>
      </w:r>
      <w:r>
        <w:rPr>
          <w:rFonts w:cs="Times New Roman" w:hint="eastAsia"/>
          <w:color w:val="000000" w:themeColor="text1"/>
        </w:rPr>
        <w:t>規定なし</w:t>
      </w:r>
      <w:r>
        <w:rPr>
          <w:rFonts w:cs="Times New Roman"/>
          <w:color w:val="000000" w:themeColor="text1"/>
        </w:rPr>
        <w:t>)</w:t>
      </w:r>
    </w:p>
    <w:p>
      <w:pPr>
        <w:ind w:leftChars="100" w:left="840" w:hangingChars="250" w:hanging="600"/>
        <w:rPr>
          <w:rStyle w:val="02pt"/>
          <w:rFonts w:cs="MS Gothic"/>
          <w:color w:val="000000" w:themeColor="text1"/>
        </w:rPr>
      </w:pPr>
      <w:r>
        <w:rPr>
          <w:color w:val="000000" w:themeColor="text1"/>
        </w:rPr>
        <w:t xml:space="preserve"> </w:t>
      </w:r>
      <w:r>
        <w:rPr>
          <w:rFonts w:hint="eastAsia"/>
          <w:color w:val="000000" w:themeColor="text1"/>
        </w:rPr>
        <w:t xml:space="preserve">　５　土地評価益を加算して算出した持分払戻額のうち、出資金の部分を超える額が、純資産中の資本剰余金、利益剰余金の合計額を超える場合に生じる差額は、脱退者持分払戻勘定で処理する。</w:t>
      </w:r>
      <w:r>
        <w:rPr>
          <w:color w:val="000000" w:themeColor="text1"/>
        </w:rPr>
        <w:t xml:space="preserve"> </w:t>
      </w:r>
    </w:p>
    <w:sectPr>
      <w:headerReference w:type="default" r:id="rId6"/>
      <w:footerReference w:type="default" r:id="rId7"/>
      <w:type w:val="continuous"/>
      <w:pgSz w:w="11906" w:h="16838"/>
      <w:pgMar w:top="1418" w:right="1134" w:bottom="1418" w:left="1134" w:header="720" w:footer="720" w:gutter="0"/>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409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1FCA04-1FB9-4232-9169-C64C4F25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uiPriority w:val="99"/>
    <w:pPr>
      <w:ind w:firstLineChars="250" w:firstLine="650"/>
    </w:pPr>
    <w:rPr>
      <w:rFonts w:cs="Times New Roman"/>
      <w:spacing w:val="10"/>
    </w:rPr>
  </w:style>
  <w:style w:type="paragraph" w:customStyle="1" w:styleId="2">
    <w:name w:val="スタイル 最初の行 :  2 字"/>
    <w:basedOn w:val="a"/>
    <w:link w:val="20"/>
    <w:uiPriority w:val="99"/>
    <w:pPr>
      <w:ind w:firstLineChars="200" w:firstLine="480"/>
    </w:pPr>
    <w:rPr>
      <w:rFonts w:cs="MS Mincho"/>
      <w:szCs w:val="20"/>
    </w:rPr>
  </w:style>
  <w:style w:type="character" w:customStyle="1" w:styleId="02pt">
    <w:name w:val="スタイル 文字間隔広く  0.2 pt"/>
    <w:basedOn w:val="a0"/>
    <w:uiPriority w:val="99"/>
    <w:rPr>
      <w:rFonts w:cs="Times New Roman"/>
      <w:spacing w:val="10"/>
    </w:rPr>
  </w:style>
  <w:style w:type="paragraph" w:customStyle="1" w:styleId="167pt">
    <w:name w:val="スタイル 行間 :  最小値 16.7 pt"/>
    <w:basedOn w:val="a"/>
    <w:uiPriority w:val="99"/>
    <w:pPr>
      <w:spacing w:line="334" w:lineRule="atLeast"/>
      <w:ind w:rightChars="-87" w:right="-209"/>
    </w:pPr>
    <w:rPr>
      <w:rFonts w:cs="MS Mincho"/>
      <w:szCs w:val="20"/>
    </w:rPr>
  </w:style>
  <w:style w:type="character" w:customStyle="1" w:styleId="20">
    <w:name w:val="スタイル 最初の行 :  2 字 (文字)"/>
    <w:basedOn w:val="a0"/>
    <w:link w:val="2"/>
    <w:uiPriority w:val="99"/>
    <w:locked/>
    <w:rPr>
      <w:rFonts w:ascii="MS Gothic" w:eastAsia="MS Gothic" w:hAnsi="MS Gothic" w:cs="MS Mincho"/>
      <w:color w:val="000000"/>
      <w:sz w:val="22"/>
      <w:lang w:val="en-US" w:eastAsia="ja-JP" w:bidi="ar-SA"/>
    </w:rPr>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4</DocSecurity>
  <Lines>9</Lines>
  <Paragraphs>2</Paragraphs>
  <ScaleCrop>false</ScaleCrop>
  <Company>新潟県中小企業団体中央会</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剰余金処分案・損失処理案</dc:title>
  <dc:subject/>
  <dc:creator>新潟県中小企業団体中央会</dc:creator>
  <cp:keywords/>
  <dc:description/>
  <cp:lastModifiedBy>Windows User</cp:lastModifiedBy>
  <cp:revision>2</cp:revision>
  <cp:lastPrinted>2021-04-30T20:37:00Z</cp:lastPrinted>
  <dcterms:created xsi:type="dcterms:W3CDTF">2021-05-10T05:41:00Z</dcterms:created>
  <dcterms:modified xsi:type="dcterms:W3CDTF">2021-05-10T05:41:00Z</dcterms:modified>
</cp:coreProperties>
</file>